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1027" w14:textId="77777777" w:rsidR="008F6B11" w:rsidRDefault="008F6B11" w:rsidP="008F6B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Sygn. akt: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405/23</w:t>
      </w:r>
    </w:p>
    <w:p w14:paraId="1D5582AF" w14:textId="77777777" w:rsidR="008F6B11" w:rsidRDefault="008F6B11" w:rsidP="008F6B1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83373B" w14:textId="77777777" w:rsidR="008F6B11" w:rsidRDefault="008F6B11" w:rsidP="008F6B1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 O S T A N O W I E N I E</w:t>
      </w:r>
    </w:p>
    <w:p w14:paraId="68EAD375" w14:textId="77777777" w:rsidR="008F6B11" w:rsidRDefault="008F6B11" w:rsidP="008F6B11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24 kwietnia 2024 r.</w:t>
      </w:r>
    </w:p>
    <w:p w14:paraId="13BF279E" w14:textId="77777777" w:rsidR="008F6B11" w:rsidRDefault="008F6B11" w:rsidP="008F6B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5F9265" w14:textId="77777777" w:rsidR="008F6B11" w:rsidRDefault="008F6B11" w:rsidP="008F6B1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187FF6CC" w14:textId="77777777" w:rsidR="008F6B11" w:rsidRDefault="008F6B11" w:rsidP="008F6B1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</w:rPr>
        <w:t>Piotra Szczepana Łydy</w:t>
      </w:r>
    </w:p>
    <w:p w14:paraId="002BBC3E" w14:textId="77777777" w:rsidR="008F6B11" w:rsidRDefault="008F6B11" w:rsidP="008F6B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24 kwietnia 2024 r. w Lubaczowie </w:t>
      </w:r>
    </w:p>
    <w:p w14:paraId="28E1389E" w14:textId="77777777" w:rsidR="008F6B11" w:rsidRDefault="008F6B11" w:rsidP="008F6B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6345D1AD" w14:textId="77777777" w:rsidR="008F6B11" w:rsidRDefault="008F6B11" w:rsidP="008F6B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 Domu Pomocy Społecznej w Rudzie Różanieckiej</w:t>
      </w:r>
    </w:p>
    <w:p w14:paraId="0889BEA1" w14:textId="77777777" w:rsidR="008F6B11" w:rsidRDefault="008F6B11" w:rsidP="008F6B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udziałem Agaty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Gredes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kuratora ustanowionego dla nieznanych z miejsca pobytu wierzycieli – spadkobierców po zmarłym Stanisławie Marianie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Czepiel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762E5BB" w14:textId="77777777" w:rsidR="008F6B11" w:rsidRDefault="008F6B11" w:rsidP="008F6B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kwoty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299,32 zł</w:t>
      </w:r>
    </w:p>
    <w:p w14:paraId="1813F61A" w14:textId="77777777" w:rsidR="008F6B11" w:rsidRDefault="008F6B11" w:rsidP="008F6B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D4FBA4" w14:textId="77777777" w:rsidR="008F6B11" w:rsidRDefault="008F6B11" w:rsidP="008F6B1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15C6A543" w14:textId="77777777" w:rsidR="008F6B11" w:rsidRDefault="008F6B11" w:rsidP="008F6B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BEB749" w14:textId="77777777" w:rsidR="008F6B11" w:rsidRDefault="008F6B11" w:rsidP="008F6B1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Domu Pomocy Społecznej w Rudzie Różanieckiej na złożenie do depozytu sądowego Sądu Rejonowego w Lubaczowie </w:t>
      </w:r>
      <w:bookmarkStart w:id="0" w:name="_Hlk16477404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1" w:name="_Hlk157678017"/>
      <w:bookmarkStart w:id="2" w:name="_Hlk16484821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299,32 zł (dwieście dziewięćdziesiąt dziewięć złotych 32/100) 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pozostałej po zmarłym dnia 26 grudnia 2019 r. pensjonariuszu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Stanisławie Marianie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Czepiel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synu Józefa i Bronisławy. </w:t>
      </w:r>
    </w:p>
    <w:p w14:paraId="2F8A2AFC" w14:textId="77777777" w:rsidR="008F6B11" w:rsidRDefault="008F6B11" w:rsidP="008F6B1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629FD99E" w14:textId="77777777" w:rsidR="008F6B11" w:rsidRDefault="008F6B11" w:rsidP="008F6B1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Wezwać uczestników do odbioru depozytu w terminie 3 lat od ogłoszenia niniejszego postanowienia, pod rygorem orzeczenia przejścia depozytu na rzecz Skarbu Państwa.</w:t>
      </w:r>
    </w:p>
    <w:p w14:paraId="296C6019" w14:textId="77777777" w:rsidR="008F6B11" w:rsidRDefault="008F6B11" w:rsidP="008F6B1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Przyznać kuratorowi Renacie Złonkiewicz wynagrodzenie w kwocie 60,00 zł (sześćdziesiąt złotych).</w:t>
      </w:r>
    </w:p>
    <w:p w14:paraId="3DAF6B36" w14:textId="77777777" w:rsidR="008F6B11" w:rsidRDefault="008F6B11" w:rsidP="008F6B1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0DB0BF14" w14:textId="77777777" w:rsidR="008F6B11" w:rsidRDefault="008F6B11" w:rsidP="008F6B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9F082E" w14:textId="77777777" w:rsidR="008F6B11" w:rsidRDefault="008F6B11" w:rsidP="008F6B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09A31C" w14:textId="77777777" w:rsidR="008F6B11" w:rsidRDefault="008F6B11" w:rsidP="008F6B11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C306D9" w14:textId="77777777" w:rsidR="008F6B11" w:rsidRDefault="008F6B11" w:rsidP="008F6B11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EA639D" w14:textId="77777777" w:rsidR="008F6B11" w:rsidRDefault="008F6B11" w:rsidP="008F6B11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FC48AF" w14:textId="77777777" w:rsidR="008F6B11" w:rsidRDefault="008F6B11" w:rsidP="008F6B11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7D3040" w14:textId="77777777" w:rsidR="008F6B11" w:rsidRDefault="008F6B11" w:rsidP="008F6B11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B0D672" w14:textId="77777777" w:rsidR="008F6B11" w:rsidRDefault="008F6B11" w:rsidP="008F6B11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1FD365" w14:textId="77777777" w:rsidR="008F6B11" w:rsidRDefault="008F6B11" w:rsidP="008F6B11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0AFD8676" w14:textId="77777777" w:rsidR="008F6B11" w:rsidRDefault="008F6B11" w:rsidP="008F6B11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złożył wniosek o zezwolenie na złożenie do depozytu sądowego kwoty 299,32 zł (dwieście dziewięćdziesiąt dziewięć złotych 32/100) pozostałej po zmarłym dnia 26 grudnia 2019 r. pensjonariuszu Stanisławie Marianie </w:t>
      </w:r>
      <w:proofErr w:type="spellStart"/>
      <w:r>
        <w:rPr>
          <w:rFonts w:ascii="Times New Roman" w:hAnsi="Times New Roman"/>
          <w:sz w:val="24"/>
          <w:szCs w:val="24"/>
        </w:rPr>
        <w:t>Czepiel</w:t>
      </w:r>
      <w:proofErr w:type="spellEnd"/>
      <w:r>
        <w:rPr>
          <w:rFonts w:ascii="Times New Roman" w:hAnsi="Times New Roman"/>
          <w:sz w:val="24"/>
          <w:szCs w:val="24"/>
        </w:rPr>
        <w:t xml:space="preserve">. Podał, iż pomimo wezwania osoby uprawnionej, nie podjęła ona kwoty pozostałej po zmarłym. Dodał, iż pozostałą po zmarłym kwotę należy wydać spadkobiercom zmarłego po przedłożeniu stosownych dokumentów potwierdzających prawa do spadku. </w:t>
      </w:r>
    </w:p>
    <w:p w14:paraId="3B1C1C42" w14:textId="77777777" w:rsidR="008F6B11" w:rsidRDefault="008F6B11" w:rsidP="008F6B11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Referendarz zważył, iż zgodnie z treścią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 dłużnik może złożyć przedmiot świadczenia do depozytu sądowego m.in., jeżeli z powodu innych okoliczności dotyczących osoby wierzyciela świadczenie nie może być spełnione. </w:t>
      </w:r>
    </w:p>
    <w:p w14:paraId="4074DD14" w14:textId="77777777" w:rsidR="008F6B11" w:rsidRDefault="008F6B11" w:rsidP="008F6B11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zmarłym.</w:t>
      </w:r>
    </w:p>
    <w:p w14:paraId="5E521E95" w14:textId="77777777" w:rsidR="008F6B11" w:rsidRDefault="008F6B11" w:rsidP="008F6B11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w świetle okoliczności przytoczonych we wniosku żądanie dłużnika jest prawnie uzasadnione - należało orzec jak w sentencji orzeczenia na podstawie art.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, art. 692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 xml:space="preserve">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>, zgodnie z którym Sąd nie bada prawdziwości twierdzeń wniosku, ograniczając się do oceny, czy według przytoczonych okoliczności złożenie do depozytu jest prawnie uzasadnione.</w:t>
      </w:r>
    </w:p>
    <w:p w14:paraId="0F6C1D90" w14:textId="77777777" w:rsidR="008F6B11" w:rsidRDefault="008F6B11" w:rsidP="008F6B11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kwota nie zostanie podjęta w wyznaczonym terminie, ulegnie przepadkowi na rzecz Skarbu Państwa na podstawie art. 4 ustawy z dnia 18 października 2006 r. o likwidacji nie podjętych depozytów.</w:t>
      </w:r>
    </w:p>
    <w:p w14:paraId="41B6D236" w14:textId="77777777" w:rsidR="008F6B11" w:rsidRDefault="008F6B11" w:rsidP="008F6B11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7563DA6B" w14:textId="77777777" w:rsidR="007A4113" w:rsidRDefault="007A4113"/>
    <w:sectPr w:rsidR="007A4113" w:rsidSect="008F6B1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80"/>
    <w:rsid w:val="007A4113"/>
    <w:rsid w:val="008F6B11"/>
    <w:rsid w:val="00B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C966-6E3F-4072-ACFD-8B146C80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1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8F6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2024-07-11T11:57:00Z</dcterms:created>
  <dcterms:modified xsi:type="dcterms:W3CDTF">2024-07-11T11:58:00Z</dcterms:modified>
</cp:coreProperties>
</file>